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9364E" w14:textId="77777777" w:rsidR="008936CC" w:rsidRDefault="008936CC" w:rsidP="008936CC">
      <w:pPr>
        <w:spacing w:after="0" w:line="240" w:lineRule="auto"/>
        <w:rPr>
          <w:b/>
          <w:bCs/>
        </w:rPr>
      </w:pPr>
      <w:r>
        <w:rPr>
          <w:noProof/>
        </w:rPr>
        <w:drawing>
          <wp:inline distT="0" distB="0" distL="0" distR="0" wp14:anchorId="14555F65" wp14:editId="11465865">
            <wp:extent cx="1507380" cy="6540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910" cy="669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</w:p>
    <w:p w14:paraId="6395392F" w14:textId="77777777" w:rsidR="008936CC" w:rsidRDefault="008936CC" w:rsidP="008936CC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>COMMUNIQUÉ DE PRESSE</w:t>
      </w:r>
    </w:p>
    <w:p w14:paraId="6EBF9AA9" w14:textId="77777777" w:rsidR="008936CC" w:rsidRDefault="008936CC" w:rsidP="008936CC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>Pour diffusion immédiate</w:t>
      </w:r>
    </w:p>
    <w:p w14:paraId="6E942EAD" w14:textId="401A728C" w:rsidR="00A741B8" w:rsidRDefault="008936CC" w:rsidP="008936CC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5CF9184" w14:textId="77777777" w:rsidR="00A741B8" w:rsidRDefault="00A741B8" w:rsidP="00A741B8">
      <w:pPr>
        <w:spacing w:after="0" w:line="240" w:lineRule="auto"/>
        <w:rPr>
          <w:b/>
          <w:bCs/>
        </w:rPr>
      </w:pPr>
    </w:p>
    <w:p w14:paraId="470E59BB" w14:textId="77777777" w:rsidR="00A741B8" w:rsidRDefault="00A741B8" w:rsidP="00A741B8">
      <w:pPr>
        <w:spacing w:after="0" w:line="240" w:lineRule="auto"/>
        <w:rPr>
          <w:b/>
          <w:bCs/>
        </w:rPr>
      </w:pPr>
    </w:p>
    <w:p w14:paraId="0C95408A" w14:textId="77777777" w:rsidR="00A741B8" w:rsidRDefault="00A741B8" w:rsidP="00A741B8">
      <w:pPr>
        <w:jc w:val="center"/>
        <w:rPr>
          <w:b/>
          <w:bCs/>
        </w:rPr>
      </w:pPr>
      <w:r>
        <w:rPr>
          <w:b/>
          <w:bCs/>
        </w:rPr>
        <w:t xml:space="preserve">Le 24h Tremblant remet </w:t>
      </w:r>
      <w:r w:rsidRPr="00ED64D3">
        <w:rPr>
          <w:b/>
          <w:bCs/>
        </w:rPr>
        <w:t>2 276 000 $</w:t>
      </w:r>
      <w:r w:rsidRPr="00ED64D3">
        <w:t xml:space="preserve"> </w:t>
      </w:r>
      <w:r w:rsidRPr="009A7252">
        <w:rPr>
          <w:b/>
          <w:bCs/>
        </w:rPr>
        <w:t>à ses fondations bénéficiaires!</w:t>
      </w:r>
    </w:p>
    <w:p w14:paraId="54D9AD4C" w14:textId="77777777" w:rsidR="00A741B8" w:rsidRDefault="00A741B8" w:rsidP="00A741B8">
      <w:pPr>
        <w:rPr>
          <w:b/>
          <w:bCs/>
        </w:rPr>
      </w:pPr>
    </w:p>
    <w:p w14:paraId="3DDA1B2B" w14:textId="61EB35F6" w:rsidR="00A741B8" w:rsidRDefault="00A741B8" w:rsidP="00CF0CBB">
      <w:pPr>
        <w:jc w:val="both"/>
      </w:pPr>
      <w:r w:rsidRPr="007442A2">
        <w:rPr>
          <w:b/>
          <w:bCs/>
        </w:rPr>
        <w:t xml:space="preserve">Mont-Tremblant, le </w:t>
      </w:r>
      <w:r w:rsidR="00EF030F">
        <w:rPr>
          <w:b/>
          <w:bCs/>
        </w:rPr>
        <w:t>6 mai</w:t>
      </w:r>
      <w:r w:rsidRPr="007442A2">
        <w:rPr>
          <w:b/>
          <w:bCs/>
        </w:rPr>
        <w:t xml:space="preserve"> 202</w:t>
      </w:r>
      <w:r>
        <w:rPr>
          <w:b/>
          <w:bCs/>
        </w:rPr>
        <w:t>1</w:t>
      </w:r>
      <w:r w:rsidRPr="007442A2">
        <w:rPr>
          <w:b/>
          <w:bCs/>
        </w:rPr>
        <w:t xml:space="preserve"> -</w:t>
      </w:r>
      <w:r>
        <w:t xml:space="preserve"> Le succès exceptionnel du 24h Tremblant, qui s’est déroulé à distance en décembre dernier et a fait rayonner la grande cause des enfants au-delà du Québec, permet à l’organisation de remettre l’impressionnante somme de </w:t>
      </w:r>
      <w:r w:rsidRPr="00ED64D3">
        <w:rPr>
          <w:b/>
          <w:bCs/>
        </w:rPr>
        <w:t>2 276 000 $</w:t>
      </w:r>
      <w:r w:rsidRPr="00ED64D3">
        <w:t xml:space="preserve"> </w:t>
      </w:r>
      <w:r>
        <w:t>à ses fondations bénéficiaires.</w:t>
      </w:r>
    </w:p>
    <w:p w14:paraId="7351234D" w14:textId="77777777" w:rsidR="00A741B8" w:rsidRDefault="00A741B8" w:rsidP="00CF0CBB">
      <w:pPr>
        <w:spacing w:after="0" w:line="240" w:lineRule="auto"/>
        <w:jc w:val="both"/>
        <w:rPr>
          <w:rFonts w:cstheme="minorHAnsi"/>
          <w:color w:val="222222"/>
          <w:shd w:val="clear" w:color="auto" w:fill="FFFFFF"/>
        </w:rPr>
      </w:pPr>
      <w:r>
        <w:t xml:space="preserve">À la suite de la tenue de l’événement et du résultat inespéré de l’édition 2020, dans les conditions de crise sanitaire, la Fondation 24h est immensément fière de remettre </w:t>
      </w:r>
      <w:r w:rsidRPr="00261DBE">
        <w:t xml:space="preserve">un premier versement des </w:t>
      </w:r>
      <w:r>
        <w:t xml:space="preserve">profits de la récente édition ainsi que les montants provisionnés en 2019 </w:t>
      </w:r>
      <w:r w:rsidRPr="009C3EB2">
        <w:rPr>
          <w:rFonts w:cstheme="minorHAnsi"/>
          <w:color w:val="222222"/>
          <w:shd w:val="clear" w:color="auto" w:fill="FFFFFF"/>
        </w:rPr>
        <w:t>afin</w:t>
      </w:r>
      <w:r>
        <w:rPr>
          <w:rFonts w:cstheme="minorHAnsi"/>
          <w:color w:val="222222"/>
          <w:shd w:val="clear" w:color="auto" w:fill="FFFFFF"/>
        </w:rPr>
        <w:t xml:space="preserve"> de </w:t>
      </w:r>
      <w:r>
        <w:t>faire face à la pandémie</w:t>
      </w:r>
      <w:r>
        <w:rPr>
          <w:rFonts w:cstheme="minorHAnsi"/>
          <w:color w:val="222222"/>
          <w:shd w:val="clear" w:color="auto" w:fill="FFFFFF"/>
        </w:rPr>
        <w:t xml:space="preserve"> et ainsi </w:t>
      </w:r>
      <w:r w:rsidRPr="009C3EB2">
        <w:rPr>
          <w:rFonts w:cstheme="minorHAnsi"/>
          <w:color w:val="222222"/>
          <w:shd w:val="clear" w:color="auto" w:fill="FFFFFF"/>
        </w:rPr>
        <w:t xml:space="preserve">protéger l’avenir et la pérennité de l’événement et </w:t>
      </w:r>
      <w:r>
        <w:rPr>
          <w:rFonts w:cstheme="minorHAnsi"/>
          <w:color w:val="222222"/>
          <w:shd w:val="clear" w:color="auto" w:fill="FFFFFF"/>
        </w:rPr>
        <w:t xml:space="preserve">de </w:t>
      </w:r>
      <w:r w:rsidRPr="009C3EB2">
        <w:rPr>
          <w:rFonts w:cstheme="minorHAnsi"/>
          <w:color w:val="222222"/>
          <w:shd w:val="clear" w:color="auto" w:fill="FFFFFF"/>
        </w:rPr>
        <w:t>sa collecte de dons.</w:t>
      </w:r>
    </w:p>
    <w:p w14:paraId="0AC42348" w14:textId="77777777" w:rsidR="00A741B8" w:rsidRDefault="00A741B8" w:rsidP="00CF0CBB">
      <w:pPr>
        <w:spacing w:after="0" w:line="240" w:lineRule="auto"/>
        <w:jc w:val="both"/>
        <w:rPr>
          <w:rFonts w:cstheme="minorHAnsi"/>
          <w:color w:val="FF0000"/>
          <w:shd w:val="clear" w:color="auto" w:fill="FFFFFF"/>
        </w:rPr>
      </w:pPr>
    </w:p>
    <w:p w14:paraId="218A409F" w14:textId="7325ABDB" w:rsidR="00A741B8" w:rsidRPr="003147EF" w:rsidRDefault="00A741B8" w:rsidP="00CF0CBB">
      <w:pPr>
        <w:spacing w:after="0"/>
        <w:jc w:val="both"/>
      </w:pPr>
      <w:r w:rsidRPr="00912506">
        <w:rPr>
          <w:rFonts w:cstheme="minorHAnsi"/>
        </w:rPr>
        <w:t xml:space="preserve">« </w:t>
      </w:r>
      <w:r w:rsidRPr="00356922">
        <w:rPr>
          <w:rFonts w:cstheme="minorHAnsi"/>
          <w:i/>
          <w:iCs/>
        </w:rPr>
        <w:t xml:space="preserve">C’est fabuleux de </w:t>
      </w:r>
      <w:r>
        <w:rPr>
          <w:rFonts w:cstheme="minorHAnsi"/>
          <w:i/>
          <w:iCs/>
        </w:rPr>
        <w:t>distribuer</w:t>
      </w:r>
      <w:r w:rsidRPr="00356922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 xml:space="preserve">plus de </w:t>
      </w:r>
      <w:r w:rsidRPr="00356922">
        <w:rPr>
          <w:rFonts w:cstheme="minorHAnsi"/>
          <w:i/>
          <w:iCs/>
        </w:rPr>
        <w:t>2,</w:t>
      </w:r>
      <w:r>
        <w:rPr>
          <w:rFonts w:cstheme="minorHAnsi"/>
          <w:i/>
          <w:iCs/>
        </w:rPr>
        <w:t>2</w:t>
      </w:r>
      <w:r w:rsidRPr="00356922">
        <w:rPr>
          <w:rFonts w:cstheme="minorHAnsi"/>
          <w:i/>
          <w:iCs/>
        </w:rPr>
        <w:t xml:space="preserve"> millions de dollars à nos trois fondations bénéficiaires! Alors que l’an dernier à la même date nous vivions des moments d’incertitude, nous pouvons maintenant concrétiser notre soutien envers ces fondations qui font un travail </w:t>
      </w:r>
      <w:r>
        <w:rPr>
          <w:rFonts w:cstheme="minorHAnsi"/>
          <w:i/>
          <w:iCs/>
        </w:rPr>
        <w:t>extraordinaire</w:t>
      </w:r>
      <w:r w:rsidRPr="00356922">
        <w:rPr>
          <w:rFonts w:cstheme="minorHAnsi"/>
          <w:i/>
          <w:iCs/>
        </w:rPr>
        <w:t xml:space="preserve"> </w:t>
      </w:r>
      <w:r w:rsidRPr="00356922">
        <w:rPr>
          <w:rFonts w:eastAsia="Arial" w:cstheme="minorHAnsi"/>
          <w:i/>
          <w:iCs/>
        </w:rPr>
        <w:t xml:space="preserve">pour offrir aux enfants la chance de grandir et </w:t>
      </w:r>
      <w:r w:rsidR="004647F9">
        <w:rPr>
          <w:rFonts w:eastAsia="Arial" w:cstheme="minorHAnsi"/>
          <w:i/>
          <w:iCs/>
        </w:rPr>
        <w:t xml:space="preserve">de </w:t>
      </w:r>
      <w:r w:rsidRPr="00356922">
        <w:rPr>
          <w:rFonts w:eastAsia="Arial" w:cstheme="minorHAnsi"/>
          <w:i/>
          <w:iCs/>
        </w:rPr>
        <w:t>s’épanouir en santé</w:t>
      </w:r>
      <w:r w:rsidRPr="00356922">
        <w:rPr>
          <w:rFonts w:cstheme="minorHAnsi"/>
          <w:i/>
          <w:iCs/>
        </w:rPr>
        <w:t>. C’est donc le moment de célébrer l’engagement des participants et de nos partenaires, la générosité des donateurs et cette immense solidarité qui a été le moteur de ce 24h</w:t>
      </w:r>
      <w:r>
        <w:rPr>
          <w:rFonts w:cstheme="minorHAnsi"/>
          <w:i/>
          <w:iCs/>
        </w:rPr>
        <w:t xml:space="preserve"> Tremblant</w:t>
      </w:r>
      <w:r w:rsidRPr="00356922">
        <w:rPr>
          <w:rFonts w:cstheme="minorHAnsi"/>
          <w:i/>
          <w:iCs/>
        </w:rPr>
        <w:t xml:space="preserve"> unique, différent, mais combien motivant!</w:t>
      </w:r>
      <w:r>
        <w:rPr>
          <w:rFonts w:cstheme="minorHAnsi"/>
        </w:rPr>
        <w:t> »</w:t>
      </w:r>
      <w:r w:rsidR="0070564A">
        <w:rPr>
          <w:rFonts w:cstheme="minorHAnsi"/>
        </w:rPr>
        <w:t xml:space="preserve"> - </w:t>
      </w:r>
      <w:r>
        <w:t>Simon St-Arnaud, producteur exécutif du 24h Tremblant.</w:t>
      </w:r>
    </w:p>
    <w:p w14:paraId="4FDDE7D5" w14:textId="77777777" w:rsidR="00A741B8" w:rsidRDefault="00A741B8" w:rsidP="00CF0CB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F13A894" w14:textId="77777777" w:rsidR="00A741B8" w:rsidRPr="007442A2" w:rsidRDefault="00A741B8" w:rsidP="00CF0CBB">
      <w:pPr>
        <w:spacing w:after="0"/>
        <w:jc w:val="both"/>
        <w:rPr>
          <w:b/>
          <w:bCs/>
        </w:rPr>
      </w:pPr>
      <w:r w:rsidRPr="007442A2">
        <w:rPr>
          <w:b/>
          <w:bCs/>
        </w:rPr>
        <w:t>Où vont les dons?</w:t>
      </w:r>
    </w:p>
    <w:p w14:paraId="0036F336" w14:textId="77777777" w:rsidR="00A741B8" w:rsidRDefault="00A741B8" w:rsidP="00CF0CBB">
      <w:pPr>
        <w:spacing w:after="0"/>
        <w:jc w:val="both"/>
      </w:pPr>
      <w:r>
        <w:t>Tous les profits du 24h Tremblant sont distribués à trois fondations bénéficiaires : la Fondation Charles-Bruneau, la Fondation du CHEO et la Fondation Tremblant qui ont un impact majeur à l’échelle du Québec, dans la région d'Ottawa-Gatineau ainsi que localement dans la MRC des Laurentides. Les dons sont primordiaux pour offrir à tous les enfants une meilleure qualité de vie et financer la recherche en hémato-oncologie pédiatrique.</w:t>
      </w:r>
    </w:p>
    <w:p w14:paraId="571D0FFE" w14:textId="77777777" w:rsidR="00A741B8" w:rsidRDefault="00A741B8" w:rsidP="00CF0CBB">
      <w:pPr>
        <w:spacing w:after="0"/>
        <w:jc w:val="both"/>
      </w:pPr>
    </w:p>
    <w:p w14:paraId="10FB7804" w14:textId="77777777" w:rsidR="00A741B8" w:rsidRPr="006747E9" w:rsidRDefault="00A741B8" w:rsidP="00CF0CBB">
      <w:pPr>
        <w:spacing w:after="0"/>
        <w:jc w:val="both"/>
      </w:pPr>
      <w:r w:rsidRPr="00912506">
        <w:rPr>
          <w:b/>
          <w:bCs/>
        </w:rPr>
        <w:t>La Fondation Charles-Bruneau</w:t>
      </w:r>
    </w:p>
    <w:p w14:paraId="1A37F32B" w14:textId="4F9A2D1A" w:rsidR="00A741B8" w:rsidRDefault="00A741B8" w:rsidP="00CF0CBB">
      <w:pPr>
        <w:spacing w:after="0" w:line="276" w:lineRule="auto"/>
        <w:jc w:val="both"/>
        <w:rPr>
          <w:rFonts w:cstheme="minorHAnsi"/>
          <w:color w:val="222222"/>
          <w:shd w:val="clear" w:color="auto" w:fill="FFFFFF"/>
        </w:rPr>
      </w:pPr>
      <w:r w:rsidRPr="000E3B6E">
        <w:rPr>
          <w:rFonts w:cstheme="minorHAnsi"/>
          <w:color w:val="222222"/>
          <w:shd w:val="clear" w:color="auto" w:fill="FFFFFF"/>
        </w:rPr>
        <w:t>L’important apport de la Fondation 24h Tremblant permet à la Fondation Charles-Bruneau</w:t>
      </w:r>
      <w:r>
        <w:rPr>
          <w:rFonts w:cstheme="minorHAnsi"/>
          <w:color w:val="222222"/>
          <w:shd w:val="clear" w:color="auto" w:fill="FFFFFF"/>
        </w:rPr>
        <w:t>, bénéficiaire du 24h depuis 18 ans,</w:t>
      </w:r>
      <w:r w:rsidRPr="000E3B6E">
        <w:rPr>
          <w:rFonts w:cstheme="minorHAnsi"/>
          <w:color w:val="222222"/>
          <w:shd w:val="clear" w:color="auto" w:fill="FFFFFF"/>
        </w:rPr>
        <w:t xml:space="preserve"> de financer de nombreux </w:t>
      </w:r>
      <w:r w:rsidR="00B21D23">
        <w:rPr>
          <w:rFonts w:cstheme="minorHAnsi"/>
          <w:color w:val="222222"/>
          <w:shd w:val="clear" w:color="auto" w:fill="FFFFFF"/>
        </w:rPr>
        <w:t>projets</w:t>
      </w:r>
      <w:r w:rsidRPr="000E3B6E">
        <w:rPr>
          <w:rFonts w:cstheme="minorHAnsi"/>
          <w:color w:val="222222"/>
          <w:shd w:val="clear" w:color="auto" w:fill="FFFFFF"/>
        </w:rPr>
        <w:t xml:space="preserve"> de recherche des plus prometteurs sur les cancers pédiatriques. Les chercheurs développent présentement une médecine adaptée au code génétique de chaque enfant, qui mènera à des traitements personnalisés plus ciblés, plus efficaces et causant moins d’effets secondaires et de séquelles à long terme. Ainsi, grâce à la recherche en cours, la médecine de demain s’exerce véritablement aujourd’hui.</w:t>
      </w:r>
    </w:p>
    <w:p w14:paraId="6F78778F" w14:textId="77777777" w:rsidR="00A741B8" w:rsidRDefault="00A741B8" w:rsidP="00CF0CBB">
      <w:pPr>
        <w:spacing w:after="0" w:line="276" w:lineRule="auto"/>
        <w:jc w:val="both"/>
        <w:rPr>
          <w:rFonts w:cstheme="minorHAnsi"/>
          <w:color w:val="222222"/>
          <w:shd w:val="clear" w:color="auto" w:fill="FFFFFF"/>
        </w:rPr>
      </w:pPr>
    </w:p>
    <w:p w14:paraId="7B8F98F7" w14:textId="77777777" w:rsidR="00A741B8" w:rsidRPr="00EF030F" w:rsidRDefault="00A741B8" w:rsidP="00CF0CBB">
      <w:pPr>
        <w:spacing w:after="0" w:line="276" w:lineRule="auto"/>
        <w:jc w:val="both"/>
        <w:rPr>
          <w:b/>
          <w:bCs/>
        </w:rPr>
      </w:pPr>
      <w:r w:rsidRPr="00EF030F">
        <w:rPr>
          <w:b/>
          <w:bCs/>
        </w:rPr>
        <w:t>La Fondation du CHEO</w:t>
      </w:r>
    </w:p>
    <w:p w14:paraId="5534AF0E" w14:textId="4958C2DC" w:rsidR="00A741B8" w:rsidRPr="0070564A" w:rsidRDefault="0070564A" w:rsidP="00CF0CBB">
      <w:pPr>
        <w:shd w:val="clear" w:color="auto" w:fill="FFFFFF"/>
        <w:spacing w:after="0" w:line="276" w:lineRule="auto"/>
        <w:jc w:val="both"/>
        <w:rPr>
          <w:rFonts w:eastAsia="Times New Roman" w:cstheme="minorHAnsi"/>
          <w:strike/>
          <w:color w:val="222222"/>
          <w:lang w:eastAsia="fr-CA"/>
        </w:rPr>
      </w:pPr>
      <w:r w:rsidRPr="0070564A">
        <w:rPr>
          <w:rFonts w:eastAsia="Times New Roman" w:cstheme="minorHAnsi"/>
          <w:color w:val="000000"/>
          <w:lang w:eastAsia="fr-CA"/>
        </w:rPr>
        <w:t xml:space="preserve">En tout temps, le CHEO traite environ 500 enfants et adolescents qui sont à un stade ou l'autre du traitement du cancer. Cela représente beaucoup de tests sanguins, de séances de chimiothérapie, </w:t>
      </w:r>
      <w:r w:rsidRPr="0070564A">
        <w:rPr>
          <w:rFonts w:eastAsia="Times New Roman" w:cstheme="minorHAnsi"/>
          <w:color w:val="000000"/>
          <w:lang w:eastAsia="fr-CA"/>
        </w:rPr>
        <w:lastRenderedPageBreak/>
        <w:t>d'admissions, de chirurgies, de temps de consultation et bien plus encore.</w:t>
      </w:r>
      <w:r>
        <w:rPr>
          <w:rFonts w:eastAsia="Times New Roman" w:cstheme="minorHAnsi"/>
          <w:color w:val="000000"/>
          <w:lang w:eastAsia="fr-CA"/>
        </w:rPr>
        <w:t xml:space="preserve"> </w:t>
      </w:r>
      <w:r w:rsidRPr="0070564A">
        <w:rPr>
          <w:rFonts w:eastAsia="Times New Roman" w:cstheme="minorHAnsi"/>
          <w:i/>
          <w:iCs/>
          <w:color w:val="000000"/>
          <w:lang w:eastAsia="fr-CA"/>
        </w:rPr>
        <w:t>« L'impact physique et émotionnel d'un diagnostic de cancer sur une jeune personne est immense, mais des événements comme le 24h Tremblant aident à adoucir un peu le parcours.</w:t>
      </w:r>
      <w:r w:rsidR="00A741B8" w:rsidRPr="0070564A">
        <w:rPr>
          <w:rFonts w:eastAsia="Times New Roman" w:cstheme="minorHAnsi"/>
          <w:i/>
          <w:iCs/>
          <w:color w:val="000000"/>
          <w:lang w:eastAsia="fr-CA"/>
        </w:rPr>
        <w:t xml:space="preserve"> </w:t>
      </w:r>
      <w:r w:rsidRPr="0070564A">
        <w:rPr>
          <w:rFonts w:eastAsia="Times New Roman" w:cstheme="minorHAnsi"/>
          <w:i/>
          <w:iCs/>
          <w:color w:val="000000"/>
          <w:lang w:eastAsia="fr-CA"/>
        </w:rPr>
        <w:t>Lorsque vous appuyez le 24h Tremblant par vos dons ou votre participation, vous permettez aux cliniciens experts du CHEO de disposer d'outils et vous procurez à ses scientifiques de renommée mondiale les ressources dont ils ont besoin pour continuer à explorer des traitements plus sûrs et moins agressifs contre le cancer</w:t>
      </w:r>
      <w:r>
        <w:rPr>
          <w:rFonts w:eastAsia="Times New Roman" w:cstheme="minorHAnsi"/>
          <w:i/>
          <w:iCs/>
          <w:color w:val="000000"/>
          <w:lang w:eastAsia="fr-CA"/>
        </w:rPr>
        <w:t>. »</w:t>
      </w:r>
      <w:r w:rsidRPr="0070564A">
        <w:rPr>
          <w:rFonts w:eastAsia="Times New Roman" w:cstheme="minorHAnsi"/>
          <w:i/>
          <w:iCs/>
          <w:color w:val="000000"/>
          <w:lang w:eastAsia="fr-CA"/>
        </w:rPr>
        <w:t xml:space="preserve"> -</w:t>
      </w:r>
      <w:r w:rsidRPr="0070564A">
        <w:rPr>
          <w:rFonts w:eastAsia="Times New Roman" w:cstheme="minorHAnsi"/>
          <w:color w:val="000000"/>
          <w:lang w:eastAsia="fr-CA"/>
        </w:rPr>
        <w:t xml:space="preserve"> Kevin Keohane, président-directeur général, Fondation du CHEO</w:t>
      </w:r>
    </w:p>
    <w:p w14:paraId="2693A8EC" w14:textId="77777777" w:rsidR="0070564A" w:rsidRDefault="0070564A" w:rsidP="00CF0CBB">
      <w:pPr>
        <w:spacing w:after="0"/>
        <w:jc w:val="both"/>
        <w:rPr>
          <w:b/>
          <w:bCs/>
        </w:rPr>
      </w:pPr>
    </w:p>
    <w:p w14:paraId="612C9F53" w14:textId="6D385EA4" w:rsidR="00A741B8" w:rsidRDefault="00A741B8" w:rsidP="00CF0CBB">
      <w:pPr>
        <w:spacing w:after="0"/>
        <w:jc w:val="both"/>
        <w:rPr>
          <w:b/>
          <w:bCs/>
        </w:rPr>
      </w:pPr>
      <w:r>
        <w:rPr>
          <w:b/>
          <w:bCs/>
        </w:rPr>
        <w:t>La Fondation Tremblant</w:t>
      </w:r>
    </w:p>
    <w:p w14:paraId="07E91AEF" w14:textId="73BDFB3C" w:rsidR="00A741B8" w:rsidRPr="00663303" w:rsidRDefault="00A741B8" w:rsidP="00CF0CBB">
      <w:pPr>
        <w:spacing w:after="0" w:line="276" w:lineRule="auto"/>
        <w:jc w:val="both"/>
        <w:rPr>
          <w:rFonts w:cstheme="minorHAnsi"/>
          <w:color w:val="050505"/>
          <w:shd w:val="clear" w:color="auto" w:fill="FFFFFF"/>
        </w:rPr>
      </w:pPr>
      <w:r>
        <w:rPr>
          <w:rFonts w:cstheme="minorHAnsi"/>
          <w:color w:val="050505"/>
          <w:shd w:val="clear" w:color="auto" w:fill="FFFFFF"/>
        </w:rPr>
        <w:t>A</w:t>
      </w:r>
      <w:r w:rsidRPr="00BC39D7">
        <w:rPr>
          <w:rFonts w:cstheme="minorHAnsi"/>
          <w:color w:val="050505"/>
          <w:shd w:val="clear" w:color="auto" w:fill="FFFFFF"/>
        </w:rPr>
        <w:t xml:space="preserve">ider les enfants défavorisés </w:t>
      </w:r>
      <w:r w:rsidRPr="00BC39D7">
        <w:rPr>
          <w:rFonts w:eastAsia="Arial" w:cstheme="minorHAnsi"/>
        </w:rPr>
        <w:t>ou ayant des besoins particuliers</w:t>
      </w:r>
      <w:r w:rsidRPr="00BC39D7">
        <w:rPr>
          <w:rFonts w:cstheme="minorHAnsi"/>
          <w:color w:val="050505"/>
          <w:shd w:val="clear" w:color="auto" w:fill="FFFFFF"/>
        </w:rPr>
        <w:t xml:space="preserve"> est plus important que jamais en </w:t>
      </w:r>
      <w:r w:rsidR="00663303">
        <w:rPr>
          <w:rFonts w:cstheme="minorHAnsi"/>
          <w:color w:val="050505"/>
          <w:shd w:val="clear" w:color="auto" w:fill="FFFFFF"/>
        </w:rPr>
        <w:t>période</w:t>
      </w:r>
      <w:r w:rsidRPr="00BC39D7">
        <w:rPr>
          <w:rFonts w:cstheme="minorHAnsi"/>
          <w:color w:val="050505"/>
          <w:shd w:val="clear" w:color="auto" w:fill="FFFFFF"/>
        </w:rPr>
        <w:t xml:space="preserve"> de crise sanitaire, économique et sociale. </w:t>
      </w:r>
      <w:r>
        <w:rPr>
          <w:rFonts w:cstheme="minorHAnsi"/>
          <w:color w:val="050505"/>
          <w:shd w:val="clear" w:color="auto" w:fill="FFFFFF"/>
        </w:rPr>
        <w:t>C’est ce que la Fondation Tremblant accompli</w:t>
      </w:r>
      <w:r w:rsidR="004647F9">
        <w:rPr>
          <w:rFonts w:cstheme="minorHAnsi"/>
          <w:color w:val="050505"/>
          <w:shd w:val="clear" w:color="auto" w:fill="FFFFFF"/>
        </w:rPr>
        <w:t>t</w:t>
      </w:r>
      <w:r>
        <w:rPr>
          <w:rFonts w:cstheme="minorHAnsi"/>
          <w:color w:val="050505"/>
          <w:shd w:val="clear" w:color="auto" w:fill="FFFFFF"/>
        </w:rPr>
        <w:t xml:space="preserve"> en offrant un soutien financier indispensable aux </w:t>
      </w:r>
      <w:r w:rsidRPr="00BC39D7">
        <w:rPr>
          <w:rFonts w:cstheme="minorHAnsi"/>
          <w:color w:val="050505"/>
          <w:shd w:val="clear" w:color="auto" w:fill="FFFFFF"/>
        </w:rPr>
        <w:t>organismes communautaires</w:t>
      </w:r>
      <w:r>
        <w:rPr>
          <w:rFonts w:cstheme="minorHAnsi"/>
          <w:color w:val="050505"/>
          <w:shd w:val="clear" w:color="auto" w:fill="FFFFFF"/>
        </w:rPr>
        <w:t xml:space="preserve"> de la MRC des Laurentides qui</w:t>
      </w:r>
      <w:r w:rsidR="00663303">
        <w:rPr>
          <w:rFonts w:cstheme="minorHAnsi"/>
          <w:color w:val="050505"/>
          <w:shd w:val="clear" w:color="auto" w:fill="FFFFFF"/>
        </w:rPr>
        <w:t xml:space="preserve"> travaillent sur le terrain, auprès des enfants, afin de répondre à leurs besoins qui ont augmenté dans la dernière année. </w:t>
      </w:r>
      <w:r>
        <w:rPr>
          <w:rFonts w:cstheme="minorHAnsi"/>
          <w:color w:val="050505"/>
          <w:shd w:val="clear" w:color="auto" w:fill="FFFFFF"/>
        </w:rPr>
        <w:t xml:space="preserve">Pour la Fondation 24h Tremblant, il est capital </w:t>
      </w:r>
      <w:r w:rsidRPr="00BC39D7">
        <w:rPr>
          <w:rFonts w:eastAsia="Arial" w:cstheme="minorHAnsi"/>
        </w:rPr>
        <w:t xml:space="preserve">d’être présent dans la région qui accueille le 24h et </w:t>
      </w:r>
      <w:r w:rsidR="004647F9">
        <w:rPr>
          <w:rFonts w:eastAsia="Arial" w:cstheme="minorHAnsi"/>
        </w:rPr>
        <w:t xml:space="preserve">de </w:t>
      </w:r>
      <w:r w:rsidRPr="00BC39D7">
        <w:rPr>
          <w:rFonts w:eastAsia="Arial" w:cstheme="minorHAnsi"/>
        </w:rPr>
        <w:t xml:space="preserve">faire une différence auprès des enfants </w:t>
      </w:r>
      <w:r>
        <w:rPr>
          <w:rFonts w:eastAsia="Arial" w:cstheme="minorHAnsi"/>
        </w:rPr>
        <w:t xml:space="preserve">afin </w:t>
      </w:r>
      <w:r w:rsidRPr="00BC39D7">
        <w:rPr>
          <w:rFonts w:eastAsia="Arial" w:cstheme="minorHAnsi"/>
        </w:rPr>
        <w:t>qu’ils aient une meilleure qualité de vie et qu’ils puissent développer leur plein potentiel</w:t>
      </w:r>
      <w:r>
        <w:rPr>
          <w:rFonts w:eastAsia="Arial" w:cstheme="minorHAnsi"/>
        </w:rPr>
        <w:t>.</w:t>
      </w:r>
    </w:p>
    <w:p w14:paraId="14BAE5E5" w14:textId="77777777" w:rsidR="00A741B8" w:rsidRPr="00BC39D7" w:rsidRDefault="00A741B8" w:rsidP="00CF0CBB">
      <w:pPr>
        <w:spacing w:after="0" w:line="276" w:lineRule="auto"/>
        <w:jc w:val="both"/>
        <w:rPr>
          <w:rFonts w:eastAsia="Arial" w:cstheme="minorHAnsi"/>
        </w:rPr>
      </w:pPr>
    </w:p>
    <w:p w14:paraId="611235F7" w14:textId="77777777" w:rsidR="00A741B8" w:rsidRDefault="00A741B8" w:rsidP="00CF0CBB">
      <w:pPr>
        <w:spacing w:after="0"/>
        <w:jc w:val="both"/>
        <w:rPr>
          <w:b/>
          <w:bCs/>
        </w:rPr>
      </w:pPr>
      <w:r w:rsidRPr="00ED64D3">
        <w:rPr>
          <w:b/>
          <w:bCs/>
        </w:rPr>
        <w:t>Édition</w:t>
      </w:r>
      <w:r>
        <w:rPr>
          <w:b/>
          <w:bCs/>
        </w:rPr>
        <w:t xml:space="preserve"> 24h Tremblant</w:t>
      </w:r>
      <w:r w:rsidRPr="00ED64D3">
        <w:rPr>
          <w:b/>
          <w:bCs/>
        </w:rPr>
        <w:t xml:space="preserve"> 2021 confirmée</w:t>
      </w:r>
    </w:p>
    <w:p w14:paraId="12AD3247" w14:textId="594FE1A3" w:rsidR="00A741B8" w:rsidRPr="00BC39D7" w:rsidRDefault="00A741B8" w:rsidP="00CF0CBB">
      <w:pPr>
        <w:jc w:val="both"/>
      </w:pPr>
      <w:r>
        <w:t>En 2020, la communauté du 24h Tremblant, ses participants, partenaires et donateurs ont démontré qu</w:t>
      </w:r>
      <w:r w:rsidR="00663303">
        <w:t>’</w:t>
      </w:r>
      <w:r>
        <w:t xml:space="preserve">ensemble nous sommes plus forts! </w:t>
      </w:r>
    </w:p>
    <w:p w14:paraId="196E96B3" w14:textId="018D47DA" w:rsidR="00A741B8" w:rsidRPr="0085564D" w:rsidRDefault="00A741B8" w:rsidP="00CF0CBB">
      <w:pPr>
        <w:spacing w:after="0"/>
        <w:jc w:val="both"/>
      </w:pPr>
      <w:r>
        <w:t>Du 10 au 12 décembre 2021, nous pourrons à nouveau en être témoin lors de la 21</w:t>
      </w:r>
      <w:r w:rsidRPr="0095641B">
        <w:rPr>
          <w:vertAlign w:val="superscript"/>
        </w:rPr>
        <w:t>e</w:t>
      </w:r>
      <w:r>
        <w:t xml:space="preserve"> édition du 24h Tremblant. </w:t>
      </w:r>
      <w:r w:rsidRPr="0095641B">
        <w:rPr>
          <w:rFonts w:cstheme="minorHAnsi"/>
        </w:rPr>
        <w:t xml:space="preserve">L’organisation </w:t>
      </w:r>
      <w:r>
        <w:rPr>
          <w:rFonts w:cstheme="minorHAnsi"/>
        </w:rPr>
        <w:t xml:space="preserve">prépare </w:t>
      </w:r>
      <w:r w:rsidRPr="0095641B">
        <w:rPr>
          <w:rFonts w:cstheme="minorHAnsi"/>
        </w:rPr>
        <w:t>un événement</w:t>
      </w:r>
      <w:r>
        <w:rPr>
          <w:rFonts w:cstheme="minorHAnsi"/>
        </w:rPr>
        <w:t xml:space="preserve"> sur place, à Mont-Tremblant, dans le plus grand respect des règles sanitaires en vigueur à ce moment et vous confirme le retour de son volet à distance. En décembre prochain, les enfants auront besoin de vous! Surveillez l’ouverture des inscriptions </w:t>
      </w:r>
      <w:r w:rsidR="00663303">
        <w:rPr>
          <w:rFonts w:cstheme="minorHAnsi"/>
        </w:rPr>
        <w:t>à la mi-mai</w:t>
      </w:r>
      <w:r>
        <w:rPr>
          <w:rFonts w:cstheme="minorHAnsi"/>
        </w:rPr>
        <w:t>. Pour les détails, 24htremblant.com</w:t>
      </w:r>
    </w:p>
    <w:p w14:paraId="429820C0" w14:textId="77777777" w:rsidR="00A741B8" w:rsidRDefault="00A741B8" w:rsidP="00A741B8">
      <w:pPr>
        <w:rPr>
          <w:rFonts w:cstheme="minorHAnsi"/>
        </w:rPr>
      </w:pPr>
    </w:p>
    <w:p w14:paraId="612D49C7" w14:textId="77777777" w:rsidR="00A741B8" w:rsidRDefault="00A741B8" w:rsidP="00A741B8">
      <w:pPr>
        <w:jc w:val="center"/>
      </w:pPr>
      <w:r>
        <w:t>-30-</w:t>
      </w:r>
    </w:p>
    <w:p w14:paraId="217443F1" w14:textId="77777777" w:rsidR="00A741B8" w:rsidRDefault="00A741B8" w:rsidP="00A741B8">
      <w:pPr>
        <w:spacing w:after="0"/>
      </w:pPr>
    </w:p>
    <w:p w14:paraId="045F3691" w14:textId="77777777" w:rsidR="00A741B8" w:rsidRDefault="00A741B8" w:rsidP="00A741B8">
      <w:pPr>
        <w:spacing w:after="0"/>
      </w:pPr>
      <w:r>
        <w:t>Source :</w:t>
      </w:r>
      <w:r>
        <w:tab/>
        <w:t>Nathalie Lussier</w:t>
      </w:r>
    </w:p>
    <w:p w14:paraId="53BD0D20" w14:textId="52B661A8" w:rsidR="00A741B8" w:rsidRDefault="00A741B8" w:rsidP="00A741B8">
      <w:pPr>
        <w:spacing w:after="0"/>
        <w:ind w:left="1416"/>
      </w:pPr>
      <w:r>
        <w:t>Directrice Communications philanthropique</w:t>
      </w:r>
      <w:r w:rsidR="004647F9">
        <w:t>s</w:t>
      </w:r>
      <w:r>
        <w:t xml:space="preserve"> 24h Tremblant</w:t>
      </w:r>
    </w:p>
    <w:p w14:paraId="16AD6429" w14:textId="77777777" w:rsidR="00A741B8" w:rsidRDefault="00A741B8" w:rsidP="00A741B8">
      <w:pPr>
        <w:ind w:left="708" w:firstLine="708"/>
      </w:pPr>
      <w:r>
        <w:t>nathalie@24htremblant.com</w:t>
      </w:r>
    </w:p>
    <w:p w14:paraId="1AB15928" w14:textId="77777777" w:rsidR="00276CFB" w:rsidRDefault="00276CFB"/>
    <w:sectPr w:rsidR="00276CFB" w:rsidSect="008936CC">
      <w:pgSz w:w="12240" w:h="15840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C4980"/>
    <w:multiLevelType w:val="hybridMultilevel"/>
    <w:tmpl w:val="4F443C28"/>
    <w:lvl w:ilvl="0" w:tplc="C7128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1B8"/>
    <w:rsid w:val="00261DBE"/>
    <w:rsid w:val="00276CFB"/>
    <w:rsid w:val="0032599F"/>
    <w:rsid w:val="004647F9"/>
    <w:rsid w:val="00663303"/>
    <w:rsid w:val="00695BDD"/>
    <w:rsid w:val="0070564A"/>
    <w:rsid w:val="008936CC"/>
    <w:rsid w:val="00A741B8"/>
    <w:rsid w:val="00B21D23"/>
    <w:rsid w:val="00C01397"/>
    <w:rsid w:val="00CF0CBB"/>
    <w:rsid w:val="00DB005C"/>
    <w:rsid w:val="00DC354C"/>
    <w:rsid w:val="00EF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78C7"/>
  <w15:chartTrackingRefBased/>
  <w15:docId w15:val="{735F5B9D-BA5E-443F-9631-A2DA0114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1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4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ListParagraph">
    <w:name w:val="List Paragraph"/>
    <w:basedOn w:val="Normal"/>
    <w:uiPriority w:val="34"/>
    <w:qFormat/>
    <w:rsid w:val="00464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733</Words>
  <Characters>4035</Characters>
  <Application>Microsoft Office Word</Application>
  <DocSecurity>0</DocSecurity>
  <Lines>33</Lines>
  <Paragraphs>9</Paragraphs>
  <ScaleCrop>false</ScaleCrop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Lussier</dc:creator>
  <cp:keywords/>
  <dc:description/>
  <cp:lastModifiedBy>Nathalie Lussier</cp:lastModifiedBy>
  <cp:revision>6</cp:revision>
  <dcterms:created xsi:type="dcterms:W3CDTF">2021-05-03T13:15:00Z</dcterms:created>
  <dcterms:modified xsi:type="dcterms:W3CDTF">2021-05-06T15:28:00Z</dcterms:modified>
</cp:coreProperties>
</file>